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C4" w:rsidRDefault="00E928C4" w:rsidP="00856F2C">
      <w:pPr>
        <w:ind w:left="142"/>
        <w:jc w:val="center"/>
        <w:rPr>
          <w:b/>
          <w:spacing w:val="4"/>
          <w:sz w:val="40"/>
          <w:szCs w:val="40"/>
          <w:u w:val="single"/>
        </w:rPr>
      </w:pPr>
      <w:r w:rsidRPr="00C564F4">
        <w:rPr>
          <w:noProof/>
        </w:rPr>
        <w:drawing>
          <wp:inline distT="0" distB="0" distL="0" distR="0">
            <wp:extent cx="2630805" cy="974725"/>
            <wp:effectExtent l="0" t="0" r="0" b="0"/>
            <wp:docPr id="1" name="Obrázek 1" descr="UP_znackaFTK_horizont_pln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_znackaFTK_horizont_plna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8C4" w:rsidRDefault="00E928C4" w:rsidP="00E928C4">
      <w:pPr>
        <w:pBdr>
          <w:bottom w:val="single" w:sz="6" w:space="1" w:color="auto"/>
        </w:pBdr>
        <w:jc w:val="center"/>
        <w:rPr>
          <w:rFonts w:ascii="Palatino Linotype" w:eastAsia="Calibri" w:hAnsi="Palatino Linotype"/>
          <w:sz w:val="22"/>
          <w:szCs w:val="22"/>
          <w:lang w:eastAsia="en-US"/>
        </w:rPr>
      </w:pPr>
      <w:r w:rsidRPr="00E928C4">
        <w:rPr>
          <w:rFonts w:ascii="Palatino Linotype" w:eastAsia="Calibri" w:hAnsi="Palatino Linotype"/>
          <w:sz w:val="22"/>
          <w:szCs w:val="22"/>
          <w:lang w:eastAsia="en-US"/>
        </w:rPr>
        <w:t>Oddělení pro organizaci a další</w:t>
      </w: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 vzdělávání</w:t>
      </w:r>
    </w:p>
    <w:p w:rsidR="00E928C4" w:rsidRPr="00E928C4" w:rsidRDefault="00E928C4" w:rsidP="00E928C4">
      <w:pPr>
        <w:jc w:val="center"/>
        <w:rPr>
          <w:rFonts w:ascii="Palatino Linotype" w:eastAsia="Calibri" w:hAnsi="Palatino Linotype"/>
          <w:sz w:val="22"/>
          <w:szCs w:val="22"/>
          <w:lang w:eastAsia="en-US"/>
        </w:rPr>
      </w:pPr>
    </w:p>
    <w:p w:rsidR="00E928C4" w:rsidRDefault="00E928C4" w:rsidP="00856F2C">
      <w:pPr>
        <w:ind w:left="142"/>
        <w:jc w:val="center"/>
        <w:rPr>
          <w:b/>
          <w:spacing w:val="4"/>
          <w:sz w:val="40"/>
          <w:szCs w:val="40"/>
          <w:u w:val="single"/>
        </w:rPr>
      </w:pPr>
    </w:p>
    <w:p w:rsidR="00856F2C" w:rsidRPr="00BB52A8" w:rsidRDefault="00856F2C" w:rsidP="00E928C4">
      <w:pPr>
        <w:ind w:left="142"/>
        <w:jc w:val="center"/>
        <w:rPr>
          <w:b/>
          <w:spacing w:val="4"/>
          <w:sz w:val="32"/>
          <w:szCs w:val="32"/>
        </w:rPr>
      </w:pPr>
      <w:r w:rsidRPr="00BB52A8">
        <w:rPr>
          <w:b/>
          <w:spacing w:val="4"/>
          <w:sz w:val="32"/>
          <w:szCs w:val="32"/>
        </w:rPr>
        <w:t>Pokyny pro vykonání závěrečné zkoušky</w:t>
      </w:r>
    </w:p>
    <w:p w:rsidR="00E928C4" w:rsidRPr="00BB52A8" w:rsidRDefault="00E928C4" w:rsidP="00E928C4">
      <w:pPr>
        <w:ind w:left="142"/>
        <w:jc w:val="center"/>
        <w:rPr>
          <w:b/>
          <w:spacing w:val="4"/>
          <w:sz w:val="32"/>
          <w:szCs w:val="32"/>
        </w:rPr>
      </w:pPr>
    </w:p>
    <w:p w:rsidR="00E928C4" w:rsidRPr="00E928C4" w:rsidRDefault="00E928C4" w:rsidP="00E928C4">
      <w:pPr>
        <w:ind w:left="142"/>
        <w:jc w:val="center"/>
        <w:rPr>
          <w:b/>
          <w:spacing w:val="4"/>
          <w:sz w:val="40"/>
          <w:szCs w:val="40"/>
          <w:u w:val="single"/>
        </w:rPr>
      </w:pPr>
    </w:p>
    <w:p w:rsidR="00856F2C" w:rsidRDefault="00856F2C" w:rsidP="00856F2C">
      <w:pPr>
        <w:rPr>
          <w:b/>
          <w:spacing w:val="4"/>
        </w:rPr>
      </w:pPr>
    </w:p>
    <w:p w:rsidR="00856F2C" w:rsidRDefault="00856F2C" w:rsidP="00856F2C">
      <w:pPr>
        <w:jc w:val="center"/>
        <w:rPr>
          <w:b/>
          <w:spacing w:val="4"/>
        </w:rPr>
      </w:pPr>
      <w:r w:rsidRPr="00CC2AF1">
        <w:rPr>
          <w:b/>
          <w:spacing w:val="4"/>
        </w:rPr>
        <w:t>Článek 1</w:t>
      </w:r>
    </w:p>
    <w:p w:rsidR="00E928C4" w:rsidRPr="00CC2AF1" w:rsidRDefault="00E928C4" w:rsidP="00856F2C">
      <w:pPr>
        <w:jc w:val="center"/>
        <w:rPr>
          <w:spacing w:val="4"/>
        </w:rPr>
      </w:pPr>
    </w:p>
    <w:p w:rsidR="00856F2C" w:rsidRPr="00BB52A8" w:rsidRDefault="00856F2C" w:rsidP="00856F2C">
      <w:pPr>
        <w:jc w:val="center"/>
        <w:rPr>
          <w:b/>
          <w:i/>
          <w:spacing w:val="4"/>
          <w:sz w:val="24"/>
          <w:szCs w:val="24"/>
        </w:rPr>
      </w:pPr>
      <w:r w:rsidRPr="00BB52A8">
        <w:rPr>
          <w:b/>
          <w:i/>
          <w:spacing w:val="4"/>
          <w:sz w:val="24"/>
          <w:szCs w:val="24"/>
        </w:rPr>
        <w:t>Závěrečná práce</w:t>
      </w:r>
    </w:p>
    <w:p w:rsidR="00E928C4" w:rsidRPr="00856F2C" w:rsidRDefault="00E928C4" w:rsidP="00856F2C">
      <w:pPr>
        <w:jc w:val="center"/>
        <w:rPr>
          <w:b/>
          <w:i/>
          <w:spacing w:val="4"/>
        </w:rPr>
      </w:pPr>
    </w:p>
    <w:p w:rsidR="00856F2C" w:rsidRPr="00367067" w:rsidRDefault="00856F2C" w:rsidP="00856F2C">
      <w:pPr>
        <w:numPr>
          <w:ilvl w:val="0"/>
          <w:numId w:val="1"/>
        </w:numPr>
        <w:jc w:val="both"/>
        <w:rPr>
          <w:color w:val="C00000"/>
          <w:spacing w:val="4"/>
        </w:rPr>
      </w:pPr>
      <w:r w:rsidRPr="00CC2AF1">
        <w:rPr>
          <w:spacing w:val="4"/>
        </w:rPr>
        <w:t xml:space="preserve">Závěrečná práce se odevzdává </w:t>
      </w:r>
      <w:r w:rsidRPr="00367067">
        <w:rPr>
          <w:color w:val="C00000"/>
          <w:spacing w:val="4"/>
        </w:rPr>
        <w:t xml:space="preserve">ve dvou </w:t>
      </w:r>
      <w:r w:rsidRPr="00CC2AF1">
        <w:rPr>
          <w:spacing w:val="4"/>
        </w:rPr>
        <w:t xml:space="preserve">vyhotoveních pověřenému pracovníku </w:t>
      </w:r>
      <w:proofErr w:type="spellStart"/>
      <w:r>
        <w:rPr>
          <w:spacing w:val="4"/>
        </w:rPr>
        <w:t>ODV</w:t>
      </w:r>
      <w:proofErr w:type="spellEnd"/>
      <w:r w:rsidR="00367067">
        <w:rPr>
          <w:spacing w:val="4"/>
        </w:rPr>
        <w:t xml:space="preserve"> (</w:t>
      </w:r>
      <w:proofErr w:type="spellStart"/>
      <w:r w:rsidR="00367067">
        <w:rPr>
          <w:spacing w:val="4"/>
        </w:rPr>
        <w:t>1x</w:t>
      </w:r>
      <w:proofErr w:type="spellEnd"/>
      <w:r w:rsidR="00367067">
        <w:rPr>
          <w:spacing w:val="4"/>
        </w:rPr>
        <w:t xml:space="preserve"> pevná vazba, </w:t>
      </w:r>
      <w:proofErr w:type="spellStart"/>
      <w:r w:rsidR="00367067">
        <w:rPr>
          <w:spacing w:val="4"/>
        </w:rPr>
        <w:t>1x</w:t>
      </w:r>
      <w:proofErr w:type="spellEnd"/>
      <w:r w:rsidR="00367067">
        <w:rPr>
          <w:spacing w:val="4"/>
        </w:rPr>
        <w:t> kroužková)</w:t>
      </w:r>
      <w:r>
        <w:rPr>
          <w:spacing w:val="4"/>
        </w:rPr>
        <w:t>,</w:t>
      </w:r>
      <w:r w:rsidRPr="00CC2AF1">
        <w:rPr>
          <w:spacing w:val="4"/>
        </w:rPr>
        <w:t xml:space="preserve"> a to nejpozději 30 kalendářních dnů přede dnem konán</w:t>
      </w:r>
      <w:r w:rsidR="00367067">
        <w:rPr>
          <w:spacing w:val="4"/>
        </w:rPr>
        <w:t>í závěrečné zkoušky. Současně s </w:t>
      </w:r>
      <w:r w:rsidRPr="00CC2AF1">
        <w:rPr>
          <w:spacing w:val="4"/>
        </w:rPr>
        <w:t xml:space="preserve">prací se odevzdá </w:t>
      </w:r>
      <w:r w:rsidRPr="00367067">
        <w:rPr>
          <w:color w:val="C00000"/>
          <w:spacing w:val="4"/>
        </w:rPr>
        <w:t>CD - disketa obsahující závěrečnou práci.</w:t>
      </w:r>
    </w:p>
    <w:p w:rsidR="00856F2C" w:rsidRPr="00CC2AF1" w:rsidRDefault="00856F2C" w:rsidP="00856F2C">
      <w:pPr>
        <w:numPr>
          <w:ilvl w:val="0"/>
          <w:numId w:val="1"/>
        </w:numPr>
        <w:jc w:val="both"/>
        <w:rPr>
          <w:spacing w:val="4"/>
        </w:rPr>
      </w:pPr>
      <w:r w:rsidRPr="00CC2AF1">
        <w:rPr>
          <w:spacing w:val="4"/>
        </w:rPr>
        <w:t xml:space="preserve">Při sepsání závěrečné práce se student řídí pokyny, uvedenými v „publikačním manuálu </w:t>
      </w:r>
      <w:proofErr w:type="spellStart"/>
      <w:r w:rsidRPr="00CC2AF1">
        <w:rPr>
          <w:spacing w:val="4"/>
        </w:rPr>
        <w:t>FTK</w:t>
      </w:r>
      <w:proofErr w:type="spellEnd"/>
      <w:r w:rsidRPr="00CC2AF1">
        <w:rPr>
          <w:spacing w:val="4"/>
        </w:rPr>
        <w:t xml:space="preserve"> UP“. Práce, která má závažné formální nedostatky, nebude přijata k posuzování.</w:t>
      </w:r>
    </w:p>
    <w:p w:rsidR="00856F2C" w:rsidRPr="00CC2AF1" w:rsidRDefault="00856F2C" w:rsidP="00856F2C">
      <w:pPr>
        <w:numPr>
          <w:ilvl w:val="0"/>
          <w:numId w:val="1"/>
        </w:numPr>
        <w:jc w:val="both"/>
        <w:rPr>
          <w:spacing w:val="4"/>
        </w:rPr>
      </w:pPr>
      <w:r w:rsidRPr="00CC2AF1">
        <w:rPr>
          <w:spacing w:val="4"/>
        </w:rPr>
        <w:t xml:space="preserve">Každá závěrečná práce podléhá písemnému vyjádření recenzentů z řad odborných pracovníků příslušného sportovního svazu a pedagogů </w:t>
      </w:r>
      <w:proofErr w:type="spellStart"/>
      <w:r w:rsidRPr="00CC2AF1">
        <w:rPr>
          <w:spacing w:val="4"/>
        </w:rPr>
        <w:t>FTK</w:t>
      </w:r>
      <w:proofErr w:type="spellEnd"/>
      <w:r w:rsidRPr="00CC2AF1">
        <w:rPr>
          <w:spacing w:val="4"/>
        </w:rPr>
        <w:t xml:space="preserve"> UP, eventuálně jiného vysokoškolského pracoviště. </w:t>
      </w:r>
    </w:p>
    <w:p w:rsidR="00856F2C" w:rsidRPr="00CC2AF1" w:rsidRDefault="00856F2C" w:rsidP="00856F2C">
      <w:pPr>
        <w:numPr>
          <w:ilvl w:val="0"/>
          <w:numId w:val="1"/>
        </w:numPr>
        <w:jc w:val="both"/>
        <w:rPr>
          <w:spacing w:val="4"/>
        </w:rPr>
      </w:pPr>
      <w:r w:rsidRPr="00CC2AF1">
        <w:rPr>
          <w:spacing w:val="4"/>
        </w:rPr>
        <w:t>Závěrečná práce je recenzentem klasifikována vyjádřením „vyhověl“ nebo „nevyhověl“ a doporučena nebo nedoporučena k obhajobě v rámci závěrečné zkoušky.</w:t>
      </w:r>
    </w:p>
    <w:p w:rsidR="00856F2C" w:rsidRDefault="00856F2C" w:rsidP="00193B64">
      <w:pPr>
        <w:numPr>
          <w:ilvl w:val="0"/>
          <w:numId w:val="1"/>
        </w:numPr>
        <w:jc w:val="both"/>
        <w:rPr>
          <w:spacing w:val="2"/>
        </w:rPr>
      </w:pPr>
      <w:r w:rsidRPr="00367067">
        <w:rPr>
          <w:spacing w:val="2"/>
        </w:rPr>
        <w:t xml:space="preserve">Přijatá závěrečná práce je po ukončení studia na </w:t>
      </w:r>
      <w:proofErr w:type="spellStart"/>
      <w:r w:rsidRPr="00367067">
        <w:rPr>
          <w:spacing w:val="2"/>
        </w:rPr>
        <w:t>FTK</w:t>
      </w:r>
      <w:proofErr w:type="spellEnd"/>
      <w:r w:rsidRPr="00367067">
        <w:rPr>
          <w:spacing w:val="2"/>
        </w:rPr>
        <w:t xml:space="preserve"> UP uložena </w:t>
      </w:r>
      <w:proofErr w:type="spellStart"/>
      <w:r w:rsidR="00367067">
        <w:rPr>
          <w:spacing w:val="2"/>
        </w:rPr>
        <w:t>1x</w:t>
      </w:r>
      <w:proofErr w:type="spellEnd"/>
      <w:r w:rsidR="00367067">
        <w:rPr>
          <w:spacing w:val="2"/>
        </w:rPr>
        <w:t xml:space="preserve"> </w:t>
      </w:r>
      <w:r w:rsidRPr="00367067">
        <w:rPr>
          <w:spacing w:val="2"/>
        </w:rPr>
        <w:t xml:space="preserve">v archivu </w:t>
      </w:r>
      <w:r w:rsidR="00367067">
        <w:rPr>
          <w:spacing w:val="2"/>
        </w:rPr>
        <w:t xml:space="preserve">trenérských studií, </w:t>
      </w:r>
      <w:proofErr w:type="spellStart"/>
      <w:r w:rsidR="00367067">
        <w:rPr>
          <w:spacing w:val="2"/>
        </w:rPr>
        <w:t>1x</w:t>
      </w:r>
      <w:proofErr w:type="spellEnd"/>
      <w:r w:rsidR="00367067">
        <w:rPr>
          <w:spacing w:val="2"/>
        </w:rPr>
        <w:t xml:space="preserve"> obdrží garant specializace</w:t>
      </w:r>
    </w:p>
    <w:p w:rsidR="00856F2C" w:rsidRDefault="00856F2C" w:rsidP="00856F2C">
      <w:pPr>
        <w:jc w:val="both"/>
        <w:rPr>
          <w:spacing w:val="2"/>
        </w:rPr>
      </w:pPr>
    </w:p>
    <w:p w:rsidR="00856F2C" w:rsidRDefault="00856F2C" w:rsidP="00856F2C">
      <w:pPr>
        <w:jc w:val="both"/>
        <w:rPr>
          <w:spacing w:val="2"/>
        </w:rPr>
      </w:pPr>
    </w:p>
    <w:p w:rsidR="00856F2C" w:rsidRPr="00CC2AF1" w:rsidRDefault="00856F2C" w:rsidP="00856F2C">
      <w:pPr>
        <w:jc w:val="both"/>
        <w:rPr>
          <w:spacing w:val="2"/>
        </w:rPr>
      </w:pPr>
      <w:bookmarkStart w:id="0" w:name="_GoBack"/>
      <w:bookmarkEnd w:id="0"/>
    </w:p>
    <w:p w:rsidR="00856F2C" w:rsidRPr="00CC2AF1" w:rsidRDefault="00856F2C" w:rsidP="00856F2C">
      <w:pPr>
        <w:jc w:val="both"/>
        <w:rPr>
          <w:spacing w:val="4"/>
        </w:rPr>
      </w:pPr>
    </w:p>
    <w:p w:rsidR="00856F2C" w:rsidRDefault="00856F2C" w:rsidP="00856F2C">
      <w:pPr>
        <w:jc w:val="center"/>
        <w:rPr>
          <w:b/>
          <w:spacing w:val="4"/>
        </w:rPr>
      </w:pPr>
      <w:r w:rsidRPr="00CC2AF1">
        <w:rPr>
          <w:b/>
          <w:spacing w:val="4"/>
        </w:rPr>
        <w:t>Článek 2</w:t>
      </w:r>
    </w:p>
    <w:p w:rsidR="00E928C4" w:rsidRPr="00CC2AF1" w:rsidRDefault="00E928C4" w:rsidP="00856F2C">
      <w:pPr>
        <w:jc w:val="center"/>
        <w:rPr>
          <w:b/>
          <w:spacing w:val="4"/>
        </w:rPr>
      </w:pPr>
    </w:p>
    <w:p w:rsidR="00856F2C" w:rsidRPr="00BB52A8" w:rsidRDefault="00856F2C" w:rsidP="00856F2C">
      <w:pPr>
        <w:jc w:val="center"/>
        <w:rPr>
          <w:b/>
          <w:i/>
          <w:spacing w:val="4"/>
          <w:sz w:val="24"/>
          <w:szCs w:val="24"/>
        </w:rPr>
      </w:pPr>
      <w:r w:rsidRPr="00BB52A8">
        <w:rPr>
          <w:b/>
          <w:i/>
          <w:spacing w:val="4"/>
          <w:sz w:val="24"/>
          <w:szCs w:val="24"/>
        </w:rPr>
        <w:t>Závěrečná zkouška</w:t>
      </w:r>
    </w:p>
    <w:p w:rsidR="00E928C4" w:rsidRPr="00CC2AF1" w:rsidRDefault="00E928C4" w:rsidP="00856F2C">
      <w:pPr>
        <w:jc w:val="center"/>
        <w:rPr>
          <w:spacing w:val="4"/>
        </w:rPr>
      </w:pPr>
    </w:p>
    <w:p w:rsidR="00856F2C" w:rsidRPr="00CC2AF1" w:rsidRDefault="00856F2C" w:rsidP="00856F2C">
      <w:pPr>
        <w:numPr>
          <w:ilvl w:val="0"/>
          <w:numId w:val="2"/>
        </w:numPr>
        <w:jc w:val="both"/>
        <w:rPr>
          <w:spacing w:val="4"/>
        </w:rPr>
      </w:pPr>
      <w:r w:rsidRPr="00CC2AF1">
        <w:rPr>
          <w:spacing w:val="4"/>
        </w:rPr>
        <w:t>Studium trenérů I. třídy je ukončeno závěrečnou zkouškou. Podmínkou konání závěrečné zkoušky je uzavření posledního ročníku studia a doporučení závěrečné práce k obhajobě.</w:t>
      </w:r>
    </w:p>
    <w:p w:rsidR="00856F2C" w:rsidRPr="00CC2AF1" w:rsidRDefault="00856F2C" w:rsidP="00856F2C">
      <w:pPr>
        <w:numPr>
          <w:ilvl w:val="0"/>
          <w:numId w:val="2"/>
        </w:numPr>
        <w:jc w:val="both"/>
        <w:rPr>
          <w:spacing w:val="4"/>
        </w:rPr>
      </w:pPr>
      <w:r w:rsidRPr="00CC2AF1">
        <w:rPr>
          <w:spacing w:val="4"/>
        </w:rPr>
        <w:t xml:space="preserve">Závěrečnou zkoušku koná student před komisí, kterou jmenuje děkan </w:t>
      </w:r>
      <w:proofErr w:type="spellStart"/>
      <w:r>
        <w:rPr>
          <w:spacing w:val="4"/>
        </w:rPr>
        <w:t>FTK</w:t>
      </w:r>
      <w:proofErr w:type="spellEnd"/>
      <w:r>
        <w:rPr>
          <w:spacing w:val="4"/>
        </w:rPr>
        <w:t xml:space="preserve"> UP </w:t>
      </w:r>
      <w:r w:rsidRPr="00CC2AF1">
        <w:rPr>
          <w:spacing w:val="4"/>
        </w:rPr>
        <w:t xml:space="preserve"> na návrh PS po dohodě s pověřenými zástupci příslušného sportovního svazu. Komise je vedena předsedou. </w:t>
      </w:r>
    </w:p>
    <w:p w:rsidR="00856F2C" w:rsidRPr="00367067" w:rsidRDefault="00856F2C" w:rsidP="00856F2C">
      <w:pPr>
        <w:numPr>
          <w:ilvl w:val="0"/>
          <w:numId w:val="2"/>
        </w:numPr>
        <w:jc w:val="both"/>
        <w:rPr>
          <w:color w:val="C00000"/>
          <w:spacing w:val="4"/>
        </w:rPr>
      </w:pPr>
      <w:r w:rsidRPr="00367067">
        <w:rPr>
          <w:color w:val="C00000"/>
          <w:spacing w:val="4"/>
        </w:rPr>
        <w:t xml:space="preserve">Závěrečná </w:t>
      </w:r>
      <w:r w:rsidR="00367067" w:rsidRPr="00367067">
        <w:rPr>
          <w:color w:val="C00000"/>
          <w:spacing w:val="4"/>
        </w:rPr>
        <w:t xml:space="preserve">zkouška se klasifikuje písmeny A – F, přičemž stupeň F znamená, že student zkoušku </w:t>
      </w:r>
      <w:r w:rsidR="00367067">
        <w:rPr>
          <w:color w:val="C00000"/>
          <w:spacing w:val="4"/>
        </w:rPr>
        <w:t>neabsolvoval</w:t>
      </w:r>
      <w:r w:rsidR="00367067" w:rsidRPr="00367067">
        <w:rPr>
          <w:color w:val="C00000"/>
          <w:spacing w:val="4"/>
        </w:rPr>
        <w:t>.</w:t>
      </w:r>
    </w:p>
    <w:p w:rsidR="00856F2C" w:rsidRPr="00CC2AF1" w:rsidRDefault="00856F2C" w:rsidP="00856F2C">
      <w:pPr>
        <w:numPr>
          <w:ilvl w:val="0"/>
          <w:numId w:val="2"/>
        </w:numPr>
        <w:jc w:val="both"/>
        <w:rPr>
          <w:spacing w:val="4"/>
        </w:rPr>
      </w:pPr>
      <w:r w:rsidRPr="00CC2AF1">
        <w:rPr>
          <w:spacing w:val="4"/>
        </w:rPr>
        <w:t xml:space="preserve">Student má právo se ze zkoušky odhlásit nejpozději jeden den před jejím zahájením. Odstoupí-li student od zkoušky po její zahájení nebo poruší-li závažným způsobem pravidla zkoušky, je klasifikován známkou „nevyhověl“. Ve výjimečných případech se student může omluvit do dvou dnů po termínu konání závěrečné zkoušky. O oprávněnosti omluvy rozhodne </w:t>
      </w:r>
      <w:r w:rsidR="00367067">
        <w:rPr>
          <w:spacing w:val="4"/>
        </w:rPr>
        <w:t>příslušný proděkan</w:t>
      </w:r>
      <w:r w:rsidRPr="00CC2AF1">
        <w:rPr>
          <w:spacing w:val="4"/>
        </w:rPr>
        <w:t>.</w:t>
      </w:r>
    </w:p>
    <w:p w:rsidR="00856F2C" w:rsidRDefault="00856F2C" w:rsidP="00856F2C">
      <w:pPr>
        <w:numPr>
          <w:ilvl w:val="0"/>
          <w:numId w:val="2"/>
        </w:numPr>
        <w:jc w:val="both"/>
        <w:rPr>
          <w:spacing w:val="4"/>
        </w:rPr>
      </w:pPr>
      <w:r w:rsidRPr="00CC2AF1">
        <w:rPr>
          <w:spacing w:val="4"/>
        </w:rPr>
        <w:t xml:space="preserve">Závěrečnou zkoušku lze v případě neúspěchu opakovat dvakrát, při čemž jí musí student složit </w:t>
      </w:r>
    </w:p>
    <w:p w:rsidR="00856F2C" w:rsidRDefault="00856F2C" w:rsidP="00856F2C">
      <w:pPr>
        <w:jc w:val="both"/>
        <w:rPr>
          <w:spacing w:val="4"/>
        </w:rPr>
      </w:pPr>
    </w:p>
    <w:p w:rsidR="00856F2C" w:rsidRDefault="00856F2C" w:rsidP="00856F2C">
      <w:pPr>
        <w:ind w:left="360"/>
        <w:jc w:val="both"/>
        <w:rPr>
          <w:spacing w:val="4"/>
        </w:rPr>
      </w:pPr>
    </w:p>
    <w:p w:rsidR="00856F2C" w:rsidRPr="00CC2AF1" w:rsidRDefault="00856F2C" w:rsidP="00856F2C">
      <w:pPr>
        <w:ind w:left="360"/>
        <w:jc w:val="both"/>
        <w:rPr>
          <w:spacing w:val="4"/>
        </w:rPr>
      </w:pPr>
      <w:r w:rsidRPr="00CC2AF1">
        <w:rPr>
          <w:spacing w:val="4"/>
        </w:rPr>
        <w:t>nejpozději do dvou let po skončení studijního roku, ve kterém se zapsal do posledního roku studia. Podmínkou opakování závěrečné zkoušky je úhrada stanoveného režijního poplatku.</w:t>
      </w:r>
    </w:p>
    <w:p w:rsidR="00856F2C" w:rsidRPr="00CC2AF1" w:rsidRDefault="00856F2C" w:rsidP="00856F2C">
      <w:pPr>
        <w:numPr>
          <w:ilvl w:val="0"/>
          <w:numId w:val="2"/>
        </w:numPr>
        <w:jc w:val="both"/>
        <w:rPr>
          <w:spacing w:val="4"/>
        </w:rPr>
      </w:pPr>
      <w:r w:rsidRPr="00CC2AF1">
        <w:rPr>
          <w:spacing w:val="4"/>
        </w:rPr>
        <w:t xml:space="preserve">Studentům, kteří úspěšně složili závěrečnou zkoušku, je vydáno osvědčení o absolvování </w:t>
      </w:r>
      <w:r w:rsidR="00367067">
        <w:rPr>
          <w:spacing w:val="4"/>
        </w:rPr>
        <w:t>trenérského studia</w:t>
      </w:r>
      <w:r w:rsidRPr="00CC2AF1">
        <w:rPr>
          <w:spacing w:val="4"/>
        </w:rPr>
        <w:t xml:space="preserve"> na </w:t>
      </w:r>
      <w:proofErr w:type="spellStart"/>
      <w:r w:rsidRPr="00CC2AF1">
        <w:rPr>
          <w:spacing w:val="4"/>
        </w:rPr>
        <w:t>FTK</w:t>
      </w:r>
      <w:proofErr w:type="spellEnd"/>
      <w:r w:rsidRPr="00CC2AF1">
        <w:rPr>
          <w:spacing w:val="4"/>
        </w:rPr>
        <w:t xml:space="preserve"> UP a na jeho základě je rozhodnutím příslušného sportovního svazu vydána trenérská licence.</w:t>
      </w:r>
    </w:p>
    <w:p w:rsidR="007900EA" w:rsidRDefault="00367067"/>
    <w:sectPr w:rsidR="0079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26"/>
    <w:multiLevelType w:val="hybridMultilevel"/>
    <w:tmpl w:val="F6FA9C0E"/>
    <w:lvl w:ilvl="0" w:tplc="62C0F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681350"/>
    <w:multiLevelType w:val="hybridMultilevel"/>
    <w:tmpl w:val="10C24C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2C"/>
    <w:rsid w:val="00132790"/>
    <w:rsid w:val="00367067"/>
    <w:rsid w:val="00663CE1"/>
    <w:rsid w:val="00856F2C"/>
    <w:rsid w:val="00BB52A8"/>
    <w:rsid w:val="00E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183E"/>
  <w15:chartTrackingRefBased/>
  <w15:docId w15:val="{D9CA730A-3FA7-4CB5-B126-66E73618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2A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FTK UP Olomouc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Slezarova Dagmar</dc:creator>
  <cp:keywords/>
  <dc:description/>
  <cp:lastModifiedBy>Slezarova Dagmar</cp:lastModifiedBy>
  <cp:revision>4</cp:revision>
  <cp:lastPrinted>2017-01-24T10:29:00Z</cp:lastPrinted>
  <dcterms:created xsi:type="dcterms:W3CDTF">2017-01-24T09:55:00Z</dcterms:created>
  <dcterms:modified xsi:type="dcterms:W3CDTF">2017-01-24T11:51:00Z</dcterms:modified>
</cp:coreProperties>
</file>